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3E" w:rsidRPr="00BD703E" w:rsidRDefault="00B83BC2" w:rsidP="00BD703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 № 19</w:t>
      </w:r>
    </w:p>
    <w:p w:rsidR="00E84F83" w:rsidRDefault="00E84F83" w:rsidP="00E84F8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r w:rsidRPr="00E84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№               міської ради            сесії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E84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VII скликання від                                2019р.</w:t>
      </w:r>
    </w:p>
    <w:bookmarkEnd w:id="0"/>
    <w:p w:rsidR="00E84F83" w:rsidRDefault="00E84F83" w:rsidP="00E84F8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4F83" w:rsidRDefault="00E84F83" w:rsidP="00E84F8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proofErr w:type="spellStart"/>
      <w:r w:rsidRPr="0062410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рограма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капітального</w:t>
      </w:r>
      <w:proofErr w:type="spellEnd"/>
      <w:r w:rsidRPr="00624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ремонту</w:t>
      </w:r>
      <w:r w:rsidRPr="00624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житлового фонду міста</w:t>
      </w:r>
      <w:r w:rsidRPr="006241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Ніжин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2018</w:t>
      </w:r>
      <w:r w:rsidRPr="0062410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рі</w:t>
      </w:r>
      <w:proofErr w:type="gramStart"/>
      <w:r w:rsidRPr="0062410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</w:t>
      </w:r>
      <w:proofErr w:type="gramEnd"/>
    </w:p>
    <w:p w:rsidR="00624102" w:rsidRPr="00624102" w:rsidRDefault="00624102" w:rsidP="00624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 Паспорт програми капітального</w:t>
      </w:r>
      <w:r w:rsidRPr="006241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ремонту</w:t>
      </w:r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житлового фонду міста Ніжин </w:t>
      </w: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2018 </w:t>
      </w:r>
      <w:proofErr w:type="gramStart"/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</w:t>
      </w:r>
      <w:proofErr w:type="gramEnd"/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ік</w:t>
      </w: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103"/>
        <w:gridCol w:w="4901"/>
      </w:tblGrid>
      <w:tr w:rsidR="00624102" w:rsidRPr="00624102" w:rsidTr="00C61ABB"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3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Ніжинської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</w:tr>
      <w:tr w:rsidR="00624102" w:rsidRPr="00624102" w:rsidTr="00C61ABB"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3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номер і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розпорядчого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 органу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Закони України 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приватизацію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житлового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фонду»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19.06.1992 № 2482-8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особливості здійснення права власності у багатоквартирному будинку» від 14.05.2015 № 417-8, П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 Кабінету Міністрів України 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механізм впровадження 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Закону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приватизацію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житлового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від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08.10.1992 р. № 572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24102" w:rsidRPr="00624102" w:rsidTr="00C61ABB"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3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Ніжинської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</w:tr>
      <w:tr w:rsidR="00624102" w:rsidRPr="00624102" w:rsidTr="00C61ABB"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3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«СЄЗ», КП КК ЖЕК «Північна», </w:t>
            </w:r>
          </w:p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«ОТІС»</w:t>
            </w:r>
          </w:p>
        </w:tc>
      </w:tr>
      <w:tr w:rsidR="00624102" w:rsidRPr="00624102" w:rsidTr="00C61ABB"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3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Замовник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01" w:type="dxa"/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</w:tr>
      <w:tr w:rsidR="00624102" w:rsidRPr="00624102" w:rsidTr="00C61ABB">
        <w:trPr>
          <w:trHeight w:val="842"/>
        </w:trPr>
        <w:tc>
          <w:tcPr>
            <w:tcW w:w="566" w:type="dxa"/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3" w:type="dxa"/>
            <w:tcBorders>
              <w:bottom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співвиконавці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01" w:type="dxa"/>
            <w:tcBorders>
              <w:bottom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Відповідно до Закону України «Про здійснення державних закупівель» </w:t>
            </w:r>
          </w:p>
        </w:tc>
      </w:tr>
      <w:tr w:rsidR="00624102" w:rsidRPr="00624102" w:rsidTr="00C61ABB">
        <w:trPr>
          <w:trHeight w:val="77"/>
        </w:trPr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</w:tc>
      </w:tr>
      <w:tr w:rsidR="00624102" w:rsidRPr="00624102" w:rsidTr="00C61ABB"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бюджеті</w:t>
            </w:r>
            <w:proofErr w:type="gram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</w:t>
            </w:r>
            <w:proofErr w:type="gram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беруть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у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виконанні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комплексних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-м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Ніжина</w:t>
            </w:r>
            <w:proofErr w:type="spellEnd"/>
          </w:p>
          <w:p w:rsidR="00624102" w:rsidRPr="00624102" w:rsidRDefault="00624102" w:rsidP="00624102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uk-UA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>-кошти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 xml:space="preserve"> підприємств, установ та організацій</w:t>
            </w:r>
          </w:p>
          <w:p w:rsidR="00624102" w:rsidRPr="00624102" w:rsidRDefault="00624102" w:rsidP="00624102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>-кошти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 xml:space="preserve"> співвласників (власників), орендарів житлових (нежитлових) приміщень житлового фонду</w:t>
            </w:r>
          </w:p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>-спонсорські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 xml:space="preserve"> кошти.</w:t>
            </w:r>
          </w:p>
        </w:tc>
      </w:tr>
      <w:tr w:rsidR="00624102" w:rsidRPr="00624102" w:rsidTr="00C61ABB">
        <w:trPr>
          <w:trHeight w:val="1141"/>
        </w:trPr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B1513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173</w:t>
            </w:r>
            <w:r w:rsidR="00624102"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5,6 </w:t>
            </w:r>
            <w:proofErr w:type="spellStart"/>
            <w:r w:rsidR="00624102"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624102"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24102" w:rsidRPr="00624102" w:rsidTr="00C61ABB">
        <w:trPr>
          <w:trHeight w:val="562"/>
        </w:trPr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коштів  бюджету м. Ніжина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852E3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1412</w:t>
            </w:r>
            <w:r w:rsidR="00624102"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,8 </w:t>
            </w:r>
            <w:proofErr w:type="spellStart"/>
            <w:r w:rsidR="00624102"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624102" w:rsidRPr="00624102" w:rsidTr="00C61ABB"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9.2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>-кошти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 xml:space="preserve"> підприємств, установ та </w:t>
            </w:r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lastRenderedPageBreak/>
              <w:t>організацій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4102" w:rsidRPr="00624102" w:rsidTr="00C61ABB"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9.3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>-кошти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6"/>
                <w:lang w:val="uk-UA" w:eastAsia="uk-UA"/>
              </w:rPr>
              <w:t xml:space="preserve"> співвласників (власників), орендарів житлових (нежитлових) приміщень житлового фонду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322,8 </w:t>
            </w:r>
            <w:proofErr w:type="spellStart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24102" w:rsidRPr="00624102" w:rsidTr="00C61ABB">
        <w:tc>
          <w:tcPr>
            <w:tcW w:w="566" w:type="dxa"/>
            <w:tcBorders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9.4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241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02" w:rsidRPr="00624102" w:rsidRDefault="00624102" w:rsidP="006241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2. Проблеми, на розв’язання якої спрямована Програма.</w:t>
      </w: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Житловий фонд.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Будинки, збудовані в радянський період (так звані "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сталінки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хрущовки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"), які на сьогодні мають більше ніж, півстолітній вік і потребують комплексного капремонту. 30-ти літніми стали також будинки, збудовані останніми в місті, переважна більшість з яких є великопанельними, які потребують проведення капремонту та модернізації електромереж, ремонту та заміни покрівель, заміни вхідних дверей та ремонту підходу до під’їздів.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За період 2016-2017 рр. фактично виконано: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Капітальний ремонт покрівлі загальною площею 3010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м.кв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 на суму 694,8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Заміна вікон в трьох будинках загальна площа 24,51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м.кв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.;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Заміна вхідних дверей в кількості 21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шт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Ліфтове господарство.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Забезпечення безперебійної роботи ліфтового господарства є надзвичайно важливою соціальною проблемою, оскільки зупинення роботи ліфтів спричиняє соціальну напругу серед громадян, які користуються ліфтами. Непрацюючі ліфти значно ускладнюють повсякденне життя людей з обмеженими фізичними можливостями, інвалідів, жінок з дітьми та людей похилого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вiкy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 останні роки робота ліфтового парку міста погіршилася. Незважаючи на зусилля, спрямовані підприємствами на підтримку належного технічного стану ліфтів та їх безпечну експлуатацію, ліфтовий парк на сьогодні має високий рівень фізичного і морального зносу конструкцій, електрообладнання та перебуває у критичному стані і потребує системного підходу до вирішення проблем.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обслуговуванні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КП «Служба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Єдиного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замовника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знаходяться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25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ліфтів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11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житлових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будинках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безпосередній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виконавець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послуг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обслуговування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«ОТІС»). </w:t>
      </w: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Основну кількість існуючих ліфтів, які сьогодні перебувають в експлуатації, введено в експлуатацію у період масового будівництва житла в місті у 70-х та наприкінці 80-х років минулого століття.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За період 2016-2017рр. фактично виконано капітальний ремонт 7 ліфтів на загальну суму 694,8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.</w:t>
      </w:r>
      <w:r w:rsidRPr="0062410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x-none"/>
        </w:rPr>
        <w:t xml:space="preserve"> 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x-none"/>
        </w:rPr>
      </w:pP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3. Мета Програми.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Програма капітального ремонту житлового фонду міста Ніжина здійснюється з метою: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Реалізації державної політики у сфері житлово-комунального господарства міста;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Забезпечення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належного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функціонування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ефективної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експлуатації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об’єктів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житлово-комунального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господарства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міста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Забезпечення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необхідних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умов для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проживання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людей та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поліпшення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якості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житлово-комунальних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послуг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Забезпечення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безперебійної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роботи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внутрішньо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будинкового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інженерного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обладнання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додержання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санітарно-технічних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протипожежних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норм.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-</w:t>
      </w:r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Покращення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фізичного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стану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житлового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фонду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міста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впровадження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проектів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теплосанації</w:t>
      </w:r>
      <w:proofErr w:type="spellEnd"/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Збереження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будинків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ефективне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використання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виділених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ці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завдання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коштів</w:t>
      </w:r>
      <w:proofErr w:type="spellEnd"/>
      <w:r w:rsidRPr="00624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    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забезпечення надійної експлуатації ліфтів та ліфтового обладнання;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створення передумов для проведення ефективних заходів з попередження та недопущення аварійних ситуацій у ліфтовому господарстві міста шляхом своєчасного проведення капітального ремонту ліфтів у житлових будинках;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забезпечення мешканців багатоповерхових житлових будинків надійною роботою ліфтів з високим рівнем комфортності та зручності;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створення умов для оновлення, удосконалення ліфтового господарства;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4. Обґрунтування шляхів і засобів розв’язання проблеми, обсягів та джерел фінансування; строки та етапи виконання програми.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До складу заходів Програми враховуються всі роботи з капітального ремонту багатоквартирних житлових будинків, які передбачені Наказом Державного комітету України з питань житлово-комунального господарства від 10.08.2004 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споруд».</w:t>
      </w:r>
    </w:p>
    <w:p w:rsidR="00624102" w:rsidRPr="00624102" w:rsidRDefault="00624102" w:rsidP="006241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розрахована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2018рік.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 Програми здійснюватиметься в рамках бюджетних призначень на 2018 рік та за рахунок залучених коштів співвласників квартир житлових будинків, установ, організацій, приватних осіб. При цьому частина фінансування міського бюджету по видам робіт: капітальний ремонт (заміна) вхідних дверей не більше 50%, капітальний ремонт покрівель не більше 80%, капітальний ремонт ліфтів не більше 90%, інші роботи не більше 70% кошторисної вартості капітального ремонту відповідно об’єкту житлового фонду, в тому числі для придбання матеріалів.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капітальному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комунальній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немає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квартиронаймача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проводиться на 100% за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в  рамках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4102" w:rsidRPr="00624102" w:rsidRDefault="00624102" w:rsidP="006241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кредиторської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попередньому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Конкретний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Ніжин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затверджується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титульний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список).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5. Перелік завдань, заходів програми та результативні показники.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Для часткового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розв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язання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проблем у 2018 році необхідно виконати  капітальний ремонт покрівлі загальною площею 3580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м.кв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 (1012,5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.), замінити 10 вхідних дверей (114,0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.), виконати капітальний ремонт мереж електропостачання (60,0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.), ремонт підходу до під’їзду (21,1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.). Також 2018 році виходить термін експлуатації (25 років з часу випуску) 4-х ліфтів. Для продовження терміну експлуатації необхідно провести експертизу ліфтів (18,0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 та виконати роботи капітального ремонту згідно відомості дефектів (390,0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.). </w:t>
      </w:r>
    </w:p>
    <w:p w:rsidR="00624102" w:rsidRPr="00624102" w:rsidRDefault="00624102" w:rsidP="006241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Показники затрат: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кількість об'єктів  житлового фонду (будинків), що потребують   ремонту (в розрізі їх видів), од.: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ліфтів – 4шт;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покрівлі – 5680 м. кв.;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заміна вхідних дверей – 38шт;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мереж електропостачання – 7 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lastRenderedPageBreak/>
        <w:t>- ремонт входу до під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їзду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– 3 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852E32" w:rsidRPr="00624102" w:rsidRDefault="00852E3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виготовлення проектно-кошторисної документації з проходженням експертизи на житлові будинки</w:t>
      </w:r>
      <w:r w:rsidR="003F2E3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по вул.. Богдана Хмельницького,16 та вул.. Шевченка,101-А,</w:t>
      </w:r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, що потребують негайного викання робіт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ао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усиленню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фундаменту та стін, які руйнуються в наслідок підтоплення прилеглої території</w:t>
      </w:r>
      <w:r w:rsidR="003F2E3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– 2 об’єкти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Показники продукту: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кількість об'єктів житлового фонду (будинків), що планується відремонтувати (в розрізі їх видів), од.: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ліфтів – 4шт;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покрівлі – 3580 м. кв.;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заміна вхідних дверей – 10шт;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мереж електропостачання – 2 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ремонт входу до під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їзду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– 1 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Показники ефективності: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середня вартість капітального ремонту одного об'єкта житлового фонду (будинку) (в розрізі їх видів), тис. грн.: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капітальний ремонт ліфтів – 102,0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/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шт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покрівлі – 282,8 грн./м. кв.;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заміна вхідних дверей – 11,4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./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шт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- капітальний ремонт мереж електропостачання – 30,0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тис.грн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./об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ремонт входу до під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їзду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 xml:space="preserve"> – 21,1тис.грн./об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’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єкт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8"/>
          <w:lang w:val="uk-UA" w:eastAsia="x-none"/>
        </w:rPr>
        <w:t>Показники якості: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питома вага кількості об'єктів житлового фонду (будинків), на яких планується проведення капітального ремонту, до кількості об'єктів (будинків), що потребують капітального ремонту (в розрізі їх видів), %: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ліфтів – 100%;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покрівлі – 63%;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заміна вхідних дверей – 26%;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x-none"/>
        </w:rPr>
        <w:t>- капітальний ремонт мереж електропостачання – 28%;</w:t>
      </w:r>
    </w:p>
    <w:p w:rsidR="00624102" w:rsidRPr="00624102" w:rsidRDefault="00624102" w:rsidP="00624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- ремонт входу до під</w:t>
      </w:r>
      <w:r w:rsidRPr="00624102">
        <w:rPr>
          <w:rFonts w:ascii="Times New Roman" w:eastAsia="Times New Roman" w:hAnsi="Times New Roman" w:cs="Times New Roman"/>
          <w:sz w:val="24"/>
          <w:szCs w:val="28"/>
          <w:lang w:eastAsia="ru-RU"/>
        </w:rPr>
        <w:t>’</w:t>
      </w:r>
      <w:r w:rsidRPr="006241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їзду – 33%;</w:t>
      </w:r>
    </w:p>
    <w:p w:rsidR="00624102" w:rsidRPr="00624102" w:rsidRDefault="00624102" w:rsidP="00624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ab/>
      </w:r>
    </w:p>
    <w:p w:rsidR="00624102" w:rsidRPr="00624102" w:rsidRDefault="00624102" w:rsidP="006241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41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Координація та контроль за ходом виконання програми.</w:t>
      </w:r>
    </w:p>
    <w:p w:rsidR="00624102" w:rsidRPr="00624102" w:rsidRDefault="00624102" w:rsidP="00624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4102" w:rsidRPr="00624102" w:rsidRDefault="00624102" w:rsidP="00624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Ніжинської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102" w:rsidRPr="00624102" w:rsidRDefault="00624102" w:rsidP="00624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співвиконавці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звітують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5-го числа </w:t>
      </w:r>
      <w:proofErr w:type="spellStart"/>
      <w:proofErr w:type="gram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ісяця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102" w:rsidRPr="00624102" w:rsidRDefault="00624102" w:rsidP="00624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щоквартально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6-го числа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кварталом,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звітує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proofErr w:type="gramStart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ідсумками</w:t>
      </w:r>
      <w:proofErr w:type="spellEnd"/>
      <w:r w:rsidRPr="0062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624102" w:rsidRPr="00624102" w:rsidRDefault="00624102" w:rsidP="00624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703E" w:rsidRDefault="00BD703E" w:rsidP="00624102">
      <w:pPr>
        <w:spacing w:after="0" w:line="240" w:lineRule="auto"/>
        <w:ind w:left="1440" w:right="-546" w:hanging="14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703E" w:rsidRDefault="00BD703E" w:rsidP="00624102">
      <w:pPr>
        <w:spacing w:after="0" w:line="240" w:lineRule="auto"/>
        <w:ind w:left="1440" w:right="-546" w:hanging="14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703E" w:rsidRDefault="00BD703E" w:rsidP="00624102">
      <w:pPr>
        <w:spacing w:after="0" w:line="240" w:lineRule="auto"/>
        <w:ind w:left="1440" w:right="-546" w:hanging="14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5B84" w:rsidRDefault="00624102" w:rsidP="00BD703E">
      <w:pPr>
        <w:spacing w:after="0" w:line="240" w:lineRule="auto"/>
        <w:ind w:left="1440" w:right="-546" w:hanging="732"/>
      </w:pP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 голова</w:t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А. В. </w:t>
      </w:r>
      <w:proofErr w:type="spellStart"/>
      <w:r w:rsidRPr="0062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Лінник</w:t>
      </w:r>
      <w:proofErr w:type="spellEnd"/>
    </w:p>
    <w:sectPr w:rsidR="00355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D1"/>
    <w:rsid w:val="001C63D1"/>
    <w:rsid w:val="00355B84"/>
    <w:rsid w:val="003F2E32"/>
    <w:rsid w:val="00434AE2"/>
    <w:rsid w:val="00624102"/>
    <w:rsid w:val="006B1513"/>
    <w:rsid w:val="00852E32"/>
    <w:rsid w:val="00B83BC2"/>
    <w:rsid w:val="00BD703E"/>
    <w:rsid w:val="00E8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274E9-62A0-498A-A95D-CDBEE4F3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8</cp:revision>
  <dcterms:created xsi:type="dcterms:W3CDTF">2019-02-18T07:11:00Z</dcterms:created>
  <dcterms:modified xsi:type="dcterms:W3CDTF">2019-02-18T13:30:00Z</dcterms:modified>
</cp:coreProperties>
</file>